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2D" w:rsidRPr="009D3429" w:rsidRDefault="00B2492D" w:rsidP="00E72AE7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9D342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0F7C5B">
        <w:rPr>
          <w:rFonts w:ascii="Palatino Linotype" w:hAnsi="Palatino Linotype" w:cs="Arial"/>
          <w:b/>
        </w:rPr>
        <w:t xml:space="preserve">TRIGÉSIMA SÉPTIMA </w:t>
      </w:r>
      <w:r w:rsidRPr="009D3429">
        <w:rPr>
          <w:rFonts w:ascii="Palatino Linotype" w:hAnsi="Palatino Linotype" w:cs="Arial"/>
          <w:b/>
        </w:rPr>
        <w:t xml:space="preserve">SESIÓN ORDINARIA DE </w:t>
      </w:r>
      <w:r w:rsidR="000F7C5B">
        <w:rPr>
          <w:rFonts w:ascii="Palatino Linotype" w:hAnsi="Palatino Linotype" w:cs="Arial"/>
          <w:b/>
        </w:rPr>
        <w:t xml:space="preserve">DIEZ </w:t>
      </w:r>
      <w:r w:rsidR="0055481B">
        <w:rPr>
          <w:rFonts w:ascii="Palatino Linotype" w:hAnsi="Palatino Linotype" w:cs="Arial"/>
          <w:b/>
        </w:rPr>
        <w:t xml:space="preserve">DE </w:t>
      </w:r>
      <w:r w:rsidR="000F7C5B">
        <w:rPr>
          <w:rFonts w:ascii="Palatino Linotype" w:hAnsi="Palatino Linotype" w:cs="Arial"/>
          <w:b/>
        </w:rPr>
        <w:t xml:space="preserve">OCTUBRE </w:t>
      </w:r>
      <w:r w:rsidR="00AC0EBE" w:rsidRPr="009D3429">
        <w:rPr>
          <w:rFonts w:ascii="Palatino Linotype" w:hAnsi="Palatino Linotype" w:cs="Arial"/>
          <w:b/>
        </w:rPr>
        <w:t>DE DOS MIL DIECIOCHO</w:t>
      </w:r>
      <w:r w:rsidRPr="009D3429">
        <w:rPr>
          <w:rFonts w:ascii="Palatino Linotype" w:hAnsi="Palatino Linotype" w:cs="Arial"/>
          <w:b/>
        </w:rPr>
        <w:t xml:space="preserve">,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 w:rsidR="000F7C5B">
        <w:rPr>
          <w:rFonts w:ascii="Palatino Linotype" w:eastAsia="Calibri" w:hAnsi="Palatino Linotype" w:cs="Arial"/>
          <w:b/>
          <w:color w:val="000000"/>
        </w:rPr>
        <w:t>3019</w:t>
      </w:r>
      <w:r w:rsidR="003A0C01">
        <w:rPr>
          <w:rFonts w:ascii="Palatino Linotype" w:eastAsia="Calibri" w:hAnsi="Palatino Linotype" w:cs="Arial"/>
          <w:b/>
          <w:color w:val="000000"/>
        </w:rPr>
        <w:t>/INFOEM/IP/RR/2018</w:t>
      </w:r>
      <w:r w:rsidRPr="009D3429">
        <w:rPr>
          <w:rFonts w:ascii="Palatino Linotype" w:eastAsia="Calibri" w:hAnsi="Palatino Linotype" w:cs="Arial"/>
          <w:b/>
          <w:color w:val="000000"/>
        </w:rPr>
        <w:t>.</w:t>
      </w:r>
    </w:p>
    <w:p w:rsidR="00B2492D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 xml:space="preserve">respecto de la resolución dictada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 w:rsidR="000F7C5B">
        <w:rPr>
          <w:rFonts w:ascii="Palatino Linotype" w:eastAsia="Calibri" w:hAnsi="Palatino Linotype" w:cs="Arial"/>
          <w:b/>
          <w:color w:val="000000"/>
        </w:rPr>
        <w:t>3019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 w:rsidR="003A0C01"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0F7C5B">
        <w:rPr>
          <w:rFonts w:ascii="Palatino Linotype" w:hAnsi="Palatino Linotype" w:cs="Arial"/>
        </w:rPr>
        <w:t>el</w:t>
      </w:r>
      <w:r w:rsidR="009D7BAE" w:rsidRPr="009D3429">
        <w:rPr>
          <w:rFonts w:ascii="Palatino Linotype" w:hAnsi="Palatino Linotype" w:cs="Arial"/>
        </w:rPr>
        <w:t xml:space="preserve"> </w:t>
      </w:r>
      <w:r w:rsidRPr="009D3429">
        <w:rPr>
          <w:rFonts w:ascii="Palatino Linotype" w:hAnsi="Palatino Linotype" w:cs="Arial"/>
        </w:rPr>
        <w:t>Comisionad</w:t>
      </w:r>
      <w:r w:rsidR="000F7C5B">
        <w:rPr>
          <w:rFonts w:ascii="Palatino Linotype" w:hAnsi="Palatino Linotype" w:cs="Arial"/>
        </w:rPr>
        <w:t>o</w:t>
      </w:r>
      <w:r w:rsidR="0055481B">
        <w:rPr>
          <w:rFonts w:ascii="Palatino Linotype" w:hAnsi="Palatino Linotype" w:cs="Arial"/>
        </w:rPr>
        <w:t xml:space="preserve"> </w:t>
      </w:r>
      <w:r w:rsidR="004F285A" w:rsidRPr="004F285A">
        <w:rPr>
          <w:rFonts w:ascii="Palatino Linotype" w:hAnsi="Palatino Linotype" w:cs="Arial"/>
          <w:b/>
        </w:rPr>
        <w:t>JAVIER MARTÍNEZ CRUZ</w:t>
      </w:r>
      <w:r w:rsidRPr="009D3429">
        <w:rPr>
          <w:rFonts w:ascii="Palatino Linotype" w:hAnsi="Palatino Linotype" w:cs="Arial"/>
          <w:b/>
        </w:rPr>
        <w:t>,</w:t>
      </w:r>
      <w:r w:rsidR="000135AA">
        <w:rPr>
          <w:rFonts w:ascii="Palatino Linotype" w:hAnsi="Palatino Linotype" w:cs="Arial"/>
        </w:rPr>
        <w:t xml:space="preserve"> que es del tenor siguiente.</w:t>
      </w:r>
    </w:p>
    <w:p w:rsidR="00AC0EBE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Es de destacar, que la suscrita comparte las razones que motivaron la emisión del recurso de rev</w:t>
      </w:r>
      <w:r w:rsidR="000135AA">
        <w:rPr>
          <w:rFonts w:ascii="Palatino Linotype" w:hAnsi="Palatino Linotype"/>
        </w:rPr>
        <w:t>isión en comento; empero, estimo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 w:rsidR="00B71A4B">
        <w:rPr>
          <w:rFonts w:ascii="Palatino Linotype" w:hAnsi="Palatino Linotype"/>
        </w:rPr>
        <w:t>tocante al</w:t>
      </w:r>
      <w:r w:rsidRPr="009D3429">
        <w:rPr>
          <w:rFonts w:ascii="Palatino Linotype" w:hAnsi="Palatino Linotype"/>
        </w:rPr>
        <w:t xml:space="preserve"> sentido de la resolución correspondiente.</w:t>
      </w:r>
    </w:p>
    <w:p w:rsidR="00CA758B" w:rsidRPr="003A0C01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i/>
          <w:sz w:val="22"/>
        </w:rPr>
      </w:pPr>
      <w:r w:rsidRPr="009D3429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5E5869">
        <w:rPr>
          <w:rFonts w:ascii="Palatino Linotype" w:hAnsi="Palatino Linotype"/>
        </w:rPr>
        <w:t>el</w:t>
      </w:r>
      <w:r w:rsidRPr="009D3429">
        <w:rPr>
          <w:rFonts w:ascii="Palatino Linotype" w:hAnsi="Palatino Linotype"/>
        </w:rPr>
        <w:t xml:space="preserve"> particular requirió del</w:t>
      </w:r>
      <w:r w:rsidR="003A0C01">
        <w:rPr>
          <w:rFonts w:ascii="Palatino Linotype" w:hAnsi="Palatino Linotype"/>
        </w:rPr>
        <w:t xml:space="preserve"> </w:t>
      </w:r>
      <w:r w:rsidR="000F7C5B" w:rsidRPr="000F7C5B">
        <w:rPr>
          <w:rFonts w:ascii="Palatino Linotype" w:hAnsi="Palatino Linotype"/>
          <w:b/>
        </w:rPr>
        <w:t>Instituto Electoral del Estado de México</w:t>
      </w:r>
      <w:r w:rsidR="003A0C01">
        <w:rPr>
          <w:rFonts w:ascii="Palatino Linotype" w:hAnsi="Palatino Linotype"/>
        </w:rPr>
        <w:t xml:space="preserve">, en lo sucesivo </w:t>
      </w:r>
      <w:r w:rsidR="003A0C01">
        <w:rPr>
          <w:rFonts w:ascii="Palatino Linotype" w:hAnsi="Palatino Linotype"/>
          <w:b/>
        </w:rPr>
        <w:t>EL</w:t>
      </w:r>
      <w:r w:rsidRPr="009D3429">
        <w:rPr>
          <w:rFonts w:ascii="Palatino Linotype" w:hAnsi="Palatino Linotype"/>
        </w:rPr>
        <w:t xml:space="preserve"> </w:t>
      </w:r>
      <w:r w:rsidRPr="009D3429">
        <w:rPr>
          <w:rFonts w:ascii="Palatino Linotype" w:hAnsi="Palatino Linotype"/>
          <w:b/>
        </w:rPr>
        <w:t>SUJETO OBLIGADO</w:t>
      </w:r>
      <w:r w:rsidR="003A0C01">
        <w:rPr>
          <w:rFonts w:ascii="Palatino Linotype" w:hAnsi="Palatino Linotype"/>
        </w:rPr>
        <w:t xml:space="preserve">, </w:t>
      </w:r>
      <w:r w:rsidR="000F7C5B" w:rsidRPr="000F7C5B">
        <w:rPr>
          <w:rFonts w:ascii="Palatino Linotype" w:hAnsi="Palatino Linotype"/>
        </w:rPr>
        <w:t xml:space="preserve">le proporcionara copia del libro de registro de </w:t>
      </w:r>
      <w:r w:rsidR="000F7C5B" w:rsidRPr="000F7C5B">
        <w:rPr>
          <w:rFonts w:ascii="Palatino Linotype" w:hAnsi="Palatino Linotype"/>
        </w:rPr>
        <w:lastRenderedPageBreak/>
        <w:t>oficios recibidos y enviados de los años 2015, 2016 y 2017 de la Dirección de Partidos Políticos</w:t>
      </w:r>
      <w:r w:rsidR="000F7C5B">
        <w:rPr>
          <w:rFonts w:ascii="Palatino Linotype" w:hAnsi="Palatino Linotype"/>
        </w:rPr>
        <w:t xml:space="preserve">. </w:t>
      </w:r>
    </w:p>
    <w:p w:rsidR="001301F6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 w:rsidR="005E5869">
        <w:rPr>
          <w:rFonts w:ascii="Palatino Linotype" w:hAnsi="Palatino Linotype" w:cs="Arial"/>
        </w:rPr>
        <w:t xml:space="preserve"> </w:t>
      </w:r>
      <w:r w:rsidR="00864B00">
        <w:rPr>
          <w:rFonts w:ascii="Palatino Linotype" w:hAnsi="Palatino Linotype" w:cs="Arial"/>
        </w:rPr>
        <w:t>hizo entrega</w:t>
      </w:r>
      <w:r w:rsidR="000F7C5B">
        <w:rPr>
          <w:rFonts w:ascii="Palatino Linotype" w:hAnsi="Palatino Linotype" w:cs="Arial"/>
        </w:rPr>
        <w:t xml:space="preserve"> </w:t>
      </w:r>
      <w:r w:rsidR="00864B00">
        <w:rPr>
          <w:rFonts w:ascii="Palatino Linotype" w:hAnsi="Palatino Linotype" w:cs="Arial"/>
        </w:rPr>
        <w:t xml:space="preserve">de </w:t>
      </w:r>
      <w:r w:rsidR="000F7C5B">
        <w:rPr>
          <w:rFonts w:ascii="Palatino Linotype" w:hAnsi="Palatino Linotype" w:cs="Arial"/>
        </w:rPr>
        <w:t xml:space="preserve">copia digitalizada de los libros de registro de la Dirección indicada en la solicitud en formato PDF para los oficios enviados y en los formatos </w:t>
      </w:r>
      <w:proofErr w:type="spellStart"/>
      <w:r w:rsidR="000F7C5B">
        <w:rPr>
          <w:rFonts w:ascii="Palatino Linotype" w:hAnsi="Palatino Linotype" w:cs="Arial"/>
        </w:rPr>
        <w:t>xls</w:t>
      </w:r>
      <w:proofErr w:type="spellEnd"/>
      <w:r w:rsidR="000F7C5B">
        <w:rPr>
          <w:rFonts w:ascii="Palatino Linotype" w:hAnsi="Palatino Linotype" w:cs="Arial"/>
        </w:rPr>
        <w:t xml:space="preserve"> y </w:t>
      </w:r>
      <w:proofErr w:type="spellStart"/>
      <w:r w:rsidR="000F7C5B">
        <w:rPr>
          <w:rFonts w:ascii="Palatino Linotype" w:hAnsi="Palatino Linotype" w:cs="Arial"/>
        </w:rPr>
        <w:t>pdf</w:t>
      </w:r>
      <w:proofErr w:type="spellEnd"/>
      <w:r w:rsidR="000F7C5B">
        <w:rPr>
          <w:rFonts w:ascii="Palatino Linotype" w:hAnsi="Palatino Linotype" w:cs="Arial"/>
        </w:rPr>
        <w:t xml:space="preserve"> para los oficios recibidos; entregando por tanto diversos archivos correspondientes a registros de oficios tanto salientes como entrantes de los años 2015, 2016 y 2017 por parte </w:t>
      </w:r>
      <w:bookmarkStart w:id="0" w:name="_GoBack"/>
      <w:bookmarkEnd w:id="0"/>
      <w:r w:rsidR="000F7C5B">
        <w:rPr>
          <w:rFonts w:ascii="Palatino Linotype" w:hAnsi="Palatino Linotype" w:cs="Arial"/>
        </w:rPr>
        <w:t>de la Dirección de Partidos Políticos.</w:t>
      </w:r>
    </w:p>
    <w:p w:rsidR="000135AA" w:rsidRDefault="000135AA" w:rsidP="000135A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2E6BDD">
        <w:rPr>
          <w:rFonts w:ascii="Palatino Linotype" w:hAnsi="Palatino Linotype" w:cs="Arial"/>
        </w:rPr>
        <w:t xml:space="preserve">En ese </w:t>
      </w:r>
      <w:r>
        <w:rPr>
          <w:rFonts w:ascii="Palatino Linotype" w:hAnsi="Palatino Linotype" w:cs="Arial"/>
        </w:rPr>
        <w:t>tenor,</w:t>
      </w:r>
      <w:r w:rsidRPr="002E6BDD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>EL</w:t>
      </w:r>
      <w:r w:rsidRPr="002E6BDD">
        <w:rPr>
          <w:rFonts w:ascii="Palatino Linotype" w:hAnsi="Palatino Linotype" w:cs="Arial"/>
          <w:b/>
        </w:rPr>
        <w:t xml:space="preserve"> RECURRENTE</w:t>
      </w:r>
      <w:r w:rsidRPr="002E6BDD">
        <w:rPr>
          <w:rFonts w:ascii="Palatino Linotype" w:hAnsi="Palatino Linotype" w:cs="Arial"/>
        </w:rPr>
        <w:t xml:space="preserve"> inconforme con la respuesta otorgada por </w:t>
      </w:r>
      <w:r w:rsidRPr="002E6BDD">
        <w:rPr>
          <w:rFonts w:ascii="Palatino Linotype" w:hAnsi="Palatino Linotype" w:cs="Arial"/>
          <w:b/>
        </w:rPr>
        <w:t>EL SUJETO OBLIGADO,</w:t>
      </w:r>
      <w:r w:rsidRPr="002E6BDD">
        <w:rPr>
          <w:rFonts w:ascii="Palatino Linotype" w:hAnsi="Palatino Linotype" w:cs="Arial"/>
        </w:rPr>
        <w:t xml:space="preserve"> interpuso el recurso de revisión de mérito</w:t>
      </w:r>
      <w:r>
        <w:rPr>
          <w:rFonts w:ascii="Palatino Linotype" w:hAnsi="Palatino Linotype" w:cs="Arial"/>
        </w:rPr>
        <w:t>.</w:t>
      </w:r>
    </w:p>
    <w:p w:rsidR="00864B00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 xml:space="preserve">, la Ponencia </w:t>
      </w:r>
      <w:proofErr w:type="spellStart"/>
      <w:r w:rsidRPr="009D3429">
        <w:rPr>
          <w:rFonts w:ascii="Palatino Linotype" w:hAnsi="Palatino Linotype" w:cs="Arial"/>
        </w:rPr>
        <w:t>Resolut</w:t>
      </w:r>
      <w:r w:rsidR="009D7BAE" w:rsidRPr="009D3429">
        <w:rPr>
          <w:rFonts w:ascii="Palatino Linotype" w:hAnsi="Palatino Linotype" w:cs="Arial"/>
        </w:rPr>
        <w:t>o</w:t>
      </w:r>
      <w:r w:rsidRPr="009D3429">
        <w:rPr>
          <w:rFonts w:ascii="Palatino Linotype" w:hAnsi="Palatino Linotype" w:cs="Arial"/>
        </w:rPr>
        <w:t>ra</w:t>
      </w:r>
      <w:proofErr w:type="spellEnd"/>
      <w:r w:rsidRPr="009D3429">
        <w:rPr>
          <w:rFonts w:ascii="Palatino Linotype" w:hAnsi="Palatino Linotype" w:cs="Arial"/>
        </w:rPr>
        <w:t xml:space="preserve"> determinó </w:t>
      </w:r>
      <w:r w:rsidRPr="009D3429">
        <w:rPr>
          <w:rFonts w:ascii="Palatino Linotype" w:hAnsi="Palatino Linotype" w:cs="Arial"/>
          <w:b/>
        </w:rPr>
        <w:t>MODIFICAR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="00472B04" w:rsidRPr="009D3429">
        <w:rPr>
          <w:rFonts w:ascii="Palatino Linotype" w:hAnsi="Palatino Linotype" w:cs="Arial"/>
        </w:rPr>
        <w:t>ordenándole hacer entrega vía Sistema de Acceso a I</w:t>
      </w:r>
      <w:r w:rsidR="002276A7">
        <w:rPr>
          <w:rFonts w:ascii="Palatino Linotype" w:hAnsi="Palatino Linotype" w:cs="Arial"/>
        </w:rPr>
        <w:t>nformación Mexiquense (SAIMEX) y en versión publica,</w:t>
      </w:r>
      <w:r w:rsidR="00DA22CE">
        <w:rPr>
          <w:rFonts w:ascii="Palatino Linotype" w:hAnsi="Palatino Linotype" w:cs="Arial"/>
        </w:rPr>
        <w:t xml:space="preserve"> los </w:t>
      </w:r>
      <w:r w:rsidR="00864B00">
        <w:rPr>
          <w:rFonts w:ascii="Palatino Linotype" w:hAnsi="Palatino Linotype" w:cs="Arial"/>
        </w:rPr>
        <w:t>documentos de los que se desprenda el registro de oficios recibidos y enviados por la Dirección de Partidos Políticos en los años 2015, 2016 y 2017.</w:t>
      </w:r>
    </w:p>
    <w:p w:rsidR="008B62C2" w:rsidRDefault="008B62C2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con las causas que dieron origen al recurso de revisión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 xml:space="preserve">l hecho de </w:t>
      </w:r>
      <w:r w:rsidRPr="00D93A88">
        <w:rPr>
          <w:rFonts w:ascii="Palatino Linotype" w:hAnsi="Palatino Linotype"/>
        </w:rPr>
        <w:t xml:space="preserve">que </w:t>
      </w:r>
      <w:r>
        <w:rPr>
          <w:rFonts w:ascii="Palatino Linotype" w:hAnsi="Palatino Linotype"/>
        </w:rPr>
        <w:t xml:space="preserve">lo procedente sea </w:t>
      </w:r>
      <w:r>
        <w:rPr>
          <w:rFonts w:ascii="Palatino Linotype" w:hAnsi="Palatino Linotype"/>
          <w:b/>
        </w:rPr>
        <w:t>MODIFICAR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 xml:space="preserve">o anterior es así, de acuerdo con lo siguiente. </w:t>
      </w:r>
    </w:p>
    <w:p w:rsidR="00B2492D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lastRenderedPageBreak/>
        <w:t xml:space="preserve">En primer término, es necesario precisar que de conformidad con el artículo 186 de la </w:t>
      </w:r>
      <w:r w:rsidRPr="009D3429">
        <w:rPr>
          <w:rFonts w:ascii="Palatino Linotype" w:hAnsi="Palatino Linotype" w:cs="Arial"/>
        </w:rPr>
        <w:t>Ley de Transparencia y Acceso a la Información Pública del Estado de México y Municipios,</w:t>
      </w:r>
      <w:r w:rsidRPr="009D3429">
        <w:rPr>
          <w:rFonts w:ascii="Palatino Linotype" w:hAnsi="Palatino Linotype"/>
        </w:rPr>
        <w:t xml:space="preserve"> las Resoluciones emitidas por este Órgano Garante podrán: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i/>
          <w:sz w:val="22"/>
        </w:rPr>
        <w:t xml:space="preserve">Desechar o sobreseer el recurso; 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i/>
          <w:sz w:val="22"/>
        </w:rPr>
        <w:t xml:space="preserve">Confirmar la respuesta del sujeto obligado; 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b/>
          <w:i/>
          <w:sz w:val="22"/>
        </w:rPr>
        <w:t>Revocar o modificar la respuesta del sujeto obligado</w:t>
      </w:r>
      <w:r w:rsidRPr="00426B32">
        <w:rPr>
          <w:rFonts w:ascii="Palatino Linotype" w:hAnsi="Palatino Linotype"/>
          <w:i/>
          <w:sz w:val="22"/>
        </w:rPr>
        <w:t xml:space="preserve">; y </w:t>
      </w:r>
    </w:p>
    <w:p w:rsidR="00B2492D" w:rsidRPr="00426B32" w:rsidRDefault="00B2492D" w:rsidP="00426B3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851" w:right="899" w:firstLine="0"/>
        <w:jc w:val="both"/>
        <w:rPr>
          <w:rFonts w:ascii="Palatino Linotype" w:hAnsi="Palatino Linotype"/>
          <w:i/>
          <w:sz w:val="22"/>
        </w:rPr>
      </w:pPr>
      <w:r w:rsidRPr="00426B32">
        <w:rPr>
          <w:rFonts w:ascii="Palatino Linotype" w:hAnsi="Palatino Linotype"/>
          <w:i/>
          <w:sz w:val="22"/>
        </w:rPr>
        <w:t>Ordenar la entrega de la información.</w:t>
      </w:r>
    </w:p>
    <w:p w:rsidR="00B2492D" w:rsidRPr="009D3429" w:rsidRDefault="00B2492D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643FB6" w:rsidRPr="00643FB6" w:rsidRDefault="00643FB6" w:rsidP="00643FB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43FB6">
        <w:rPr>
          <w:rFonts w:ascii="Palatino Linotype" w:hAnsi="Palatino Linotype"/>
        </w:rPr>
        <w:t xml:space="preserve">De lo anterior, es de advertir que </w:t>
      </w:r>
      <w:r w:rsidRPr="00643FB6">
        <w:rPr>
          <w:rFonts w:ascii="Palatino Linotype" w:hAnsi="Palatino Linotype"/>
          <w:b/>
        </w:rPr>
        <w:t>EL SUJETO OBLIGADO</w:t>
      </w:r>
      <w:r w:rsidRPr="00643FB6">
        <w:rPr>
          <w:rFonts w:ascii="Palatino Linotype" w:hAnsi="Palatino Linotype"/>
        </w:rPr>
        <w:t xml:space="preserve"> no colmó ni total ni parcialmente el derecho de acceso a la información del solicitante para considerar que el sentido deba ser un </w:t>
      </w:r>
      <w:r w:rsidRPr="00643FB6">
        <w:rPr>
          <w:rFonts w:ascii="Palatino Linotype" w:hAnsi="Palatino Linotype"/>
          <w:b/>
        </w:rPr>
        <w:t>MODIFICA</w:t>
      </w:r>
      <w:r w:rsidRPr="00643FB6">
        <w:rPr>
          <w:rFonts w:ascii="Palatino Linotype" w:hAnsi="Palatino Linotype"/>
        </w:rPr>
        <w:t xml:space="preserve">; lo anterior, toma sentido al manifestar que </w:t>
      </w:r>
      <w:r w:rsidRPr="00643FB6">
        <w:rPr>
          <w:rFonts w:ascii="Palatino Linotype" w:hAnsi="Palatino Linotype"/>
          <w:b/>
        </w:rPr>
        <w:t>EL SUJETO OBLIGADO</w:t>
      </w:r>
      <w:r w:rsidRPr="00643FB6">
        <w:rPr>
          <w:rFonts w:ascii="Palatino Linotype" w:hAnsi="Palatino Linotype"/>
        </w:rPr>
        <w:t xml:space="preserve"> en su Informe Justificado </w:t>
      </w:r>
      <w:r>
        <w:rPr>
          <w:rFonts w:ascii="Palatino Linotype" w:hAnsi="Palatino Linotype"/>
        </w:rPr>
        <w:t>dejo datos visibles que se estiman susceptibles de ser testados.</w:t>
      </w:r>
    </w:p>
    <w:p w:rsidR="00CF1343" w:rsidRPr="00CB6BEB" w:rsidRDefault="00643FB6" w:rsidP="00643FB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43FB6">
        <w:rPr>
          <w:rFonts w:ascii="Palatino Linotype" w:hAnsi="Palatino Linotype"/>
        </w:rPr>
        <w:t xml:space="preserve">En ese contexto, la que suscribe emite </w:t>
      </w:r>
      <w:r w:rsidRPr="00643FB6">
        <w:rPr>
          <w:rFonts w:ascii="Palatino Linotype" w:hAnsi="Palatino Linotype"/>
          <w:b/>
        </w:rPr>
        <w:t>VOTO PARTICULAR</w:t>
      </w:r>
      <w:r w:rsidRPr="00643FB6">
        <w:rPr>
          <w:rFonts w:ascii="Palatino Linotype" w:hAnsi="Palatino Linotype"/>
        </w:rPr>
        <w:t xml:space="preserve"> ya que lo anterior, resulta aún más evidente debido a que el proyecto sometido a votación del Pleno planteó establecer la entrega al </w:t>
      </w:r>
      <w:r w:rsidRPr="00643FB6">
        <w:rPr>
          <w:rFonts w:ascii="Palatino Linotype" w:hAnsi="Palatino Linotype"/>
          <w:b/>
        </w:rPr>
        <w:t>RECURRENTE</w:t>
      </w:r>
      <w:r w:rsidRPr="00643FB6">
        <w:rPr>
          <w:rFonts w:ascii="Palatino Linotype" w:hAnsi="Palatino Linotype"/>
        </w:rPr>
        <w:t xml:space="preserve"> de la totalidad de información que no fue remitida en respuesta a la solicitud, ello en atención a que la Ponencia </w:t>
      </w:r>
      <w:proofErr w:type="spellStart"/>
      <w:r w:rsidRPr="00643FB6">
        <w:rPr>
          <w:rFonts w:ascii="Palatino Linotype" w:hAnsi="Palatino Linotype"/>
        </w:rPr>
        <w:t>Resolutora</w:t>
      </w:r>
      <w:proofErr w:type="spellEnd"/>
      <w:r w:rsidRPr="00643FB6">
        <w:rPr>
          <w:rFonts w:ascii="Palatino Linotype" w:hAnsi="Palatino Linotype"/>
        </w:rPr>
        <w:t xml:space="preserve"> basó </w:t>
      </w:r>
      <w:r w:rsidRPr="00643FB6">
        <w:rPr>
          <w:rFonts w:ascii="Palatino Linotype" w:hAnsi="Palatino Linotype"/>
        </w:rPr>
        <w:lastRenderedPageBreak/>
        <w:t xml:space="preserve">el estudio de la resolución, en la información otorgada a la solicitud planteada por el particular, misma en la que se advierte que </w:t>
      </w:r>
      <w:r w:rsidRPr="00643FB6">
        <w:rPr>
          <w:rFonts w:ascii="Palatino Linotype" w:hAnsi="Palatino Linotype"/>
          <w:b/>
        </w:rPr>
        <w:t>EL SUJETO OBLIGADO</w:t>
      </w:r>
      <w:r w:rsidRPr="00643FB6">
        <w:rPr>
          <w:rFonts w:ascii="Palatino Linotype" w:hAnsi="Palatino Linotype"/>
        </w:rPr>
        <w:t xml:space="preserve"> no colmó ni total ni parcialmente lo requerido; por lo tanto, se reitera que, lo conducente era </w:t>
      </w:r>
      <w:r w:rsidRPr="00643FB6">
        <w:rPr>
          <w:rFonts w:ascii="Palatino Linotype" w:hAnsi="Palatino Linotype"/>
          <w:b/>
        </w:rPr>
        <w:t xml:space="preserve">REVOCAR </w:t>
      </w:r>
      <w:r w:rsidRPr="00643FB6">
        <w:rPr>
          <w:rFonts w:ascii="Palatino Linotype" w:hAnsi="Palatino Linotype"/>
        </w:rPr>
        <w:t xml:space="preserve">la respuesta del </w:t>
      </w:r>
      <w:r w:rsidRPr="00643FB6">
        <w:rPr>
          <w:rFonts w:ascii="Palatino Linotype" w:hAnsi="Palatino Linotype"/>
          <w:b/>
        </w:rPr>
        <w:t>SUJETO OBLIGADO</w:t>
      </w:r>
      <w:r w:rsidRPr="00643FB6">
        <w:rPr>
          <w:rFonts w:ascii="Palatino Linotype" w:hAnsi="Palatino Linotype"/>
        </w:rPr>
        <w:t>.</w:t>
      </w:r>
    </w:p>
    <w:p w:rsidR="0035687B" w:rsidRDefault="0035687B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CB6BEB" w:rsidRDefault="00CB6BEB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CB6BEB" w:rsidRDefault="00CB6BEB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643FB6" w:rsidRDefault="00643FB6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:rsidR="004F285A" w:rsidRDefault="004F285A" w:rsidP="00E72AE7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ED622F" w:rsidRPr="009D3429" w:rsidTr="00311E8E">
        <w:trPr>
          <w:trHeight w:val="913"/>
          <w:jc w:val="center"/>
        </w:trPr>
        <w:tc>
          <w:tcPr>
            <w:tcW w:w="2896" w:type="dxa"/>
            <w:vAlign w:val="center"/>
          </w:tcPr>
          <w:p w:rsidR="00ED622F" w:rsidRPr="009D3429" w:rsidRDefault="00ED622F" w:rsidP="00426B32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ED622F" w:rsidRDefault="00ED622F" w:rsidP="007D329A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454BF2" w:rsidRPr="009D3429" w:rsidRDefault="00454BF2" w:rsidP="007D329A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:rsidR="00623A83" w:rsidRDefault="00623A83" w:rsidP="00E72AE7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4F285A" w:rsidRDefault="004F285A" w:rsidP="00E72AE7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43FB6" w:rsidRDefault="00643FB6" w:rsidP="00E72AE7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643FB6" w:rsidRDefault="00643FB6" w:rsidP="00E72AE7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B2492D" w:rsidRDefault="00B2492D" w:rsidP="00426B32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Esta hoja corresponde al voto particular emitido en </w:t>
      </w:r>
      <w:r w:rsidR="00CB6BEB">
        <w:rPr>
          <w:rFonts w:ascii="Palatino Linotype" w:eastAsia="Calibri" w:hAnsi="Palatino Linotype" w:cs="Arial"/>
          <w:color w:val="000000" w:themeColor="text1"/>
          <w:sz w:val="20"/>
        </w:rPr>
        <w:t>la resolución d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el recurso de revisión 0</w:t>
      </w:r>
      <w:r w:rsidR="004F285A">
        <w:rPr>
          <w:rFonts w:ascii="Palatino Linotype" w:eastAsia="Calibri" w:hAnsi="Palatino Linotype" w:cs="Arial"/>
          <w:color w:val="000000" w:themeColor="text1"/>
          <w:sz w:val="20"/>
        </w:rPr>
        <w:t>3019</w:t>
      </w:r>
      <w:r w:rsidR="00ED622F" w:rsidRPr="0035687B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 w:rsidR="00CB6BEB">
        <w:rPr>
          <w:rFonts w:ascii="Palatino Linotype" w:eastAsia="Calibri" w:hAnsi="Palatino Linotype" w:cs="Arial"/>
          <w:color w:val="000000" w:themeColor="text1"/>
          <w:sz w:val="20"/>
        </w:rPr>
        <w:t>8, aprobada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el </w:t>
      </w:r>
      <w:r w:rsidR="004F285A">
        <w:rPr>
          <w:rFonts w:ascii="Palatino Linotype" w:eastAsia="Calibri" w:hAnsi="Palatino Linotype" w:cs="Arial"/>
          <w:color w:val="000000" w:themeColor="text1"/>
          <w:sz w:val="20"/>
        </w:rPr>
        <w:t>diez</w:t>
      </w:r>
      <w:r w:rsidR="00623A83">
        <w:rPr>
          <w:rFonts w:ascii="Palatino Linotype" w:eastAsia="Calibri" w:hAnsi="Palatino Linotype" w:cs="Arial"/>
          <w:color w:val="000000" w:themeColor="text1"/>
          <w:sz w:val="20"/>
        </w:rPr>
        <w:t xml:space="preserve"> de </w:t>
      </w:r>
      <w:r w:rsidR="004F285A">
        <w:rPr>
          <w:rFonts w:ascii="Palatino Linotype" w:eastAsia="Calibri" w:hAnsi="Palatino Linotype" w:cs="Arial"/>
          <w:color w:val="000000" w:themeColor="text1"/>
          <w:sz w:val="20"/>
        </w:rPr>
        <w:t>octubre</w:t>
      </w:r>
      <w:r w:rsidR="00CB6BEB">
        <w:rPr>
          <w:rFonts w:ascii="Palatino Linotype" w:eastAsia="Calibri" w:hAnsi="Palatino Linotype" w:cs="Arial"/>
          <w:color w:val="000000" w:themeColor="text1"/>
          <w:sz w:val="20"/>
        </w:rPr>
        <w:t xml:space="preserve"> </w:t>
      </w:r>
      <w:r w:rsidR="00CF1343" w:rsidRPr="0035687B">
        <w:rPr>
          <w:rFonts w:ascii="Palatino Linotype" w:eastAsia="Calibri" w:hAnsi="Palatino Linotype" w:cs="Arial"/>
          <w:color w:val="000000" w:themeColor="text1"/>
          <w:sz w:val="20"/>
        </w:rPr>
        <w:t>de dos mil dieciocho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.</w:t>
      </w:r>
    </w:p>
    <w:p w:rsidR="007D329A" w:rsidRPr="007D329A" w:rsidRDefault="007D329A" w:rsidP="00426B32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847315" w:rsidRPr="0035687B" w:rsidRDefault="00CB6BEB" w:rsidP="00426B32">
      <w:pPr>
        <w:jc w:val="both"/>
        <w:rPr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YSM/IAHA</w:t>
      </w:r>
    </w:p>
    <w:sectPr w:rsidR="00847315" w:rsidRPr="0035687B" w:rsidSect="00AC0EB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6B" w:rsidRDefault="0049686B" w:rsidP="00B2492D">
      <w:r>
        <w:separator/>
      </w:r>
    </w:p>
  </w:endnote>
  <w:endnote w:type="continuationSeparator" w:id="0">
    <w:p w:rsidR="0049686B" w:rsidRDefault="0049686B" w:rsidP="00B2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454BF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454BF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454BF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454BF2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5B5A8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54BF2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54BF2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454BF2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6B" w:rsidRDefault="0049686B" w:rsidP="00B2492D">
      <w:r>
        <w:separator/>
      </w:r>
    </w:p>
  </w:footnote>
  <w:footnote w:type="continuationSeparator" w:id="0">
    <w:p w:rsidR="0049686B" w:rsidRDefault="0049686B" w:rsidP="00B24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454BF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5B5A8B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4826CB01" wp14:editId="1346C5E0">
          <wp:simplePos x="0" y="0"/>
          <wp:positionH relativeFrom="column">
            <wp:posOffset>-679450</wp:posOffset>
          </wp:positionH>
          <wp:positionV relativeFrom="paragraph">
            <wp:posOffset>-424180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103" w:type="dxa"/>
      <w:tblInd w:w="4253" w:type="dxa"/>
      <w:tblLayout w:type="fixed"/>
      <w:tblLook w:val="04A0" w:firstRow="1" w:lastRow="0" w:firstColumn="1" w:lastColumn="0" w:noHBand="0" w:noVBand="1"/>
    </w:tblPr>
    <w:tblGrid>
      <w:gridCol w:w="5103"/>
    </w:tblGrid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9110E4" w:rsidP="009110E4">
          <w:pPr>
            <w:pStyle w:val="Encabezado"/>
            <w:tabs>
              <w:tab w:val="clear" w:pos="4252"/>
              <w:tab w:val="clear" w:pos="8504"/>
              <w:tab w:val="left" w:pos="2326"/>
            </w:tabs>
            <w:jc w:val="center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                                                        </w:t>
          </w:r>
          <w:r w:rsidR="005B5A8B">
            <w:rPr>
              <w:rFonts w:ascii="Palatino Linotype" w:hAnsi="Palatino Linotype" w:cs="Arial"/>
              <w:sz w:val="20"/>
              <w:szCs w:val="20"/>
            </w:rPr>
            <w:t>VOTO PARTICULAR</w:t>
          </w:r>
        </w:p>
      </w:tc>
    </w:tr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3A0C01" w:rsidP="003A0C01">
          <w:pPr>
            <w:pStyle w:val="Encabezado"/>
            <w:tabs>
              <w:tab w:val="clear" w:pos="4252"/>
              <w:tab w:val="clear" w:pos="8504"/>
              <w:tab w:val="left" w:pos="2326"/>
            </w:tabs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</w:t>
          </w:r>
          <w:r w:rsidR="005B5A8B" w:rsidRPr="00801C8F">
            <w:rPr>
              <w:rFonts w:ascii="Palatino Linotype" w:hAnsi="Palatino Linotype" w:cs="Arial"/>
              <w:sz w:val="20"/>
              <w:szCs w:val="20"/>
            </w:rPr>
            <w:t xml:space="preserve">RECURSO DE REVISIÓN </w:t>
          </w:r>
          <w:r w:rsidR="00B2492D">
            <w:rPr>
              <w:rFonts w:ascii="Palatino Linotype" w:hAnsi="Palatino Linotype" w:cs="Arial"/>
              <w:sz w:val="20"/>
              <w:szCs w:val="20"/>
            </w:rPr>
            <w:t>0</w:t>
          </w:r>
          <w:r w:rsidR="000F7C5B">
            <w:rPr>
              <w:rFonts w:ascii="Palatino Linotype" w:hAnsi="Palatino Linotype" w:cs="Arial"/>
              <w:sz w:val="20"/>
              <w:szCs w:val="20"/>
            </w:rPr>
            <w:t>3019</w:t>
          </w:r>
          <w:r>
            <w:rPr>
              <w:rFonts w:ascii="Palatino Linotype" w:hAnsi="Palatino Linotype" w:cs="Arial"/>
              <w:sz w:val="20"/>
              <w:szCs w:val="20"/>
            </w:rPr>
            <w:t>/INFOEM/IP/RR/2018</w:t>
          </w:r>
        </w:p>
      </w:tc>
    </w:tr>
  </w:tbl>
  <w:p w:rsidR="00E46383" w:rsidRDefault="00454BF2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066B13" w:rsidRDefault="00454BF2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65.8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454BF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7952"/>
    <w:multiLevelType w:val="multilevel"/>
    <w:tmpl w:val="3BC45D2C"/>
    <w:lvl w:ilvl="0">
      <w:start w:val="24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2D"/>
    <w:rsid w:val="000076F2"/>
    <w:rsid w:val="000135AA"/>
    <w:rsid w:val="00086CEA"/>
    <w:rsid w:val="000F7C5B"/>
    <w:rsid w:val="00124FC4"/>
    <w:rsid w:val="001301F6"/>
    <w:rsid w:val="00140D79"/>
    <w:rsid w:val="001D5562"/>
    <w:rsid w:val="001F01D1"/>
    <w:rsid w:val="00216380"/>
    <w:rsid w:val="002276A7"/>
    <w:rsid w:val="00251FF5"/>
    <w:rsid w:val="00296C85"/>
    <w:rsid w:val="00311E8E"/>
    <w:rsid w:val="00324EBE"/>
    <w:rsid w:val="0035687B"/>
    <w:rsid w:val="00384B27"/>
    <w:rsid w:val="003A0C01"/>
    <w:rsid w:val="003C2F6A"/>
    <w:rsid w:val="003F4C4C"/>
    <w:rsid w:val="004243C3"/>
    <w:rsid w:val="00426B32"/>
    <w:rsid w:val="00437359"/>
    <w:rsid w:val="00454BF2"/>
    <w:rsid w:val="00472B04"/>
    <w:rsid w:val="0047574B"/>
    <w:rsid w:val="0049686B"/>
    <w:rsid w:val="004F285A"/>
    <w:rsid w:val="004F77DC"/>
    <w:rsid w:val="0053148C"/>
    <w:rsid w:val="00534623"/>
    <w:rsid w:val="0055481B"/>
    <w:rsid w:val="00580868"/>
    <w:rsid w:val="005A4D7F"/>
    <w:rsid w:val="005B5027"/>
    <w:rsid w:val="005B5A8B"/>
    <w:rsid w:val="005E5869"/>
    <w:rsid w:val="00623A83"/>
    <w:rsid w:val="00643FB6"/>
    <w:rsid w:val="00654FE9"/>
    <w:rsid w:val="00674B2F"/>
    <w:rsid w:val="006801D4"/>
    <w:rsid w:val="00692F4C"/>
    <w:rsid w:val="006A1F35"/>
    <w:rsid w:val="006B30CD"/>
    <w:rsid w:val="0070435B"/>
    <w:rsid w:val="007454C4"/>
    <w:rsid w:val="00777C87"/>
    <w:rsid w:val="007C26E9"/>
    <w:rsid w:val="007C7A0C"/>
    <w:rsid w:val="007D329A"/>
    <w:rsid w:val="00807FDD"/>
    <w:rsid w:val="00811B0B"/>
    <w:rsid w:val="00864B00"/>
    <w:rsid w:val="00864D3F"/>
    <w:rsid w:val="008A35FA"/>
    <w:rsid w:val="008B0732"/>
    <w:rsid w:val="008B62C2"/>
    <w:rsid w:val="009110E4"/>
    <w:rsid w:val="009379FA"/>
    <w:rsid w:val="00973992"/>
    <w:rsid w:val="00990B93"/>
    <w:rsid w:val="009B7F40"/>
    <w:rsid w:val="009C4594"/>
    <w:rsid w:val="009D3429"/>
    <w:rsid w:val="009D7BAE"/>
    <w:rsid w:val="00A51F16"/>
    <w:rsid w:val="00A65E45"/>
    <w:rsid w:val="00A94EC1"/>
    <w:rsid w:val="00A96975"/>
    <w:rsid w:val="00AA6DEB"/>
    <w:rsid w:val="00AC0EBE"/>
    <w:rsid w:val="00AD2E93"/>
    <w:rsid w:val="00B2492D"/>
    <w:rsid w:val="00B71A4B"/>
    <w:rsid w:val="00B85728"/>
    <w:rsid w:val="00BE5708"/>
    <w:rsid w:val="00BF118A"/>
    <w:rsid w:val="00BF2A76"/>
    <w:rsid w:val="00C94710"/>
    <w:rsid w:val="00CA6DA2"/>
    <w:rsid w:val="00CA758B"/>
    <w:rsid w:val="00CB6BEB"/>
    <w:rsid w:val="00CB7180"/>
    <w:rsid w:val="00CE0D21"/>
    <w:rsid w:val="00CF1343"/>
    <w:rsid w:val="00D1088D"/>
    <w:rsid w:val="00D44FBB"/>
    <w:rsid w:val="00D724F4"/>
    <w:rsid w:val="00D856F0"/>
    <w:rsid w:val="00DA22CE"/>
    <w:rsid w:val="00E54183"/>
    <w:rsid w:val="00E5590E"/>
    <w:rsid w:val="00E72AE7"/>
    <w:rsid w:val="00ED622F"/>
    <w:rsid w:val="00F011E4"/>
    <w:rsid w:val="00F1673A"/>
    <w:rsid w:val="00F367B1"/>
    <w:rsid w:val="00F64CC1"/>
    <w:rsid w:val="00F92F70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53CBB4C-E391-43E0-AC3B-5582F079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2492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92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B2492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72"/>
    <w:locked/>
    <w:rsid w:val="00B2492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F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F3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5F28C-358F-431A-9667-3F27D11E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6</cp:revision>
  <cp:lastPrinted>2018-10-12T17:14:00Z</cp:lastPrinted>
  <dcterms:created xsi:type="dcterms:W3CDTF">2018-10-12T15:18:00Z</dcterms:created>
  <dcterms:modified xsi:type="dcterms:W3CDTF">2018-11-20T17:42:00Z</dcterms:modified>
</cp:coreProperties>
</file>